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5E520" w14:textId="77777777" w:rsidR="00422340" w:rsidRDefault="00422340"/>
    <w:p w14:paraId="6573A8FB" w14:textId="77777777" w:rsidR="00422340" w:rsidRDefault="00422340"/>
    <w:p w14:paraId="21269368" w14:textId="77777777" w:rsidR="00422340" w:rsidRDefault="00422340"/>
    <w:p w14:paraId="5FF1B7AC" w14:textId="77777777" w:rsidR="00422340" w:rsidRDefault="00422340"/>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4"/>
      </w:tblGrid>
      <w:tr w:rsidR="00CE093B" w:rsidRPr="007B4FA8" w14:paraId="0A319DE0" w14:textId="77777777" w:rsidTr="0074647F">
        <w:trPr>
          <w:trHeight w:val="284"/>
        </w:trPr>
        <w:tc>
          <w:tcPr>
            <w:tcW w:w="9204" w:type="dxa"/>
          </w:tcPr>
          <w:p w14:paraId="572038D8" w14:textId="77777777" w:rsidR="00CE093B" w:rsidRPr="007B4FA8" w:rsidRDefault="0074647F" w:rsidP="0074647F">
            <w:pPr>
              <w:rPr>
                <w:rFonts w:ascii="Verdana" w:hAnsi="Verdana"/>
                <w:color w:val="262626"/>
                <w:sz w:val="18"/>
                <w:szCs w:val="18"/>
              </w:rPr>
            </w:pPr>
            <w:r w:rsidRPr="007B4FA8">
              <w:rPr>
                <w:rFonts w:ascii="Verdana" w:hAnsi="Verdana"/>
                <w:color w:val="262626"/>
                <w:sz w:val="18"/>
                <w:szCs w:val="18"/>
              </w:rPr>
              <w:t>Pressemitteilung</w:t>
            </w:r>
          </w:p>
        </w:tc>
      </w:tr>
      <w:tr w:rsidR="00CE093B" w:rsidRPr="007B4FA8" w14:paraId="1C030C1D" w14:textId="77777777" w:rsidTr="0074647F">
        <w:trPr>
          <w:trHeight w:val="284"/>
        </w:trPr>
        <w:tc>
          <w:tcPr>
            <w:tcW w:w="9204" w:type="dxa"/>
          </w:tcPr>
          <w:p w14:paraId="2C8240F7" w14:textId="2463106A" w:rsidR="00CE093B" w:rsidRPr="00261D13" w:rsidRDefault="001B13E5" w:rsidP="005C4482">
            <w:pPr>
              <w:rPr>
                <w:rFonts w:ascii="Verdana" w:hAnsi="Verdana"/>
                <w:color w:val="262626"/>
                <w:sz w:val="18"/>
                <w:szCs w:val="18"/>
              </w:rPr>
            </w:pPr>
            <w:r w:rsidRPr="00261D13">
              <w:rPr>
                <w:rFonts w:ascii="Verdana" w:hAnsi="Verdana"/>
                <w:color w:val="262626"/>
                <w:sz w:val="18"/>
                <w:szCs w:val="18"/>
              </w:rPr>
              <w:t>Stuttgart</w:t>
            </w:r>
            <w:r w:rsidR="0074647F" w:rsidRPr="00261D13">
              <w:rPr>
                <w:rFonts w:ascii="Verdana" w:hAnsi="Verdana"/>
                <w:color w:val="262626"/>
                <w:sz w:val="18"/>
                <w:szCs w:val="18"/>
              </w:rPr>
              <w:t xml:space="preserve">, </w:t>
            </w:r>
            <w:r w:rsidR="005C4482">
              <w:rPr>
                <w:rFonts w:ascii="Verdana" w:hAnsi="Verdana"/>
                <w:color w:val="262626"/>
                <w:sz w:val="18"/>
                <w:szCs w:val="18"/>
              </w:rPr>
              <w:t>18</w:t>
            </w:r>
            <w:r w:rsidR="00071D5E">
              <w:rPr>
                <w:rFonts w:ascii="Verdana" w:hAnsi="Verdana"/>
                <w:color w:val="262626"/>
                <w:sz w:val="18"/>
                <w:szCs w:val="18"/>
              </w:rPr>
              <w:t>. November</w:t>
            </w:r>
            <w:r w:rsidR="0074647F" w:rsidRPr="00261D13">
              <w:rPr>
                <w:rFonts w:ascii="Verdana" w:hAnsi="Verdana"/>
                <w:color w:val="262626"/>
                <w:sz w:val="18"/>
                <w:szCs w:val="18"/>
              </w:rPr>
              <w:t xml:space="preserve"> 2015</w:t>
            </w:r>
          </w:p>
        </w:tc>
      </w:tr>
    </w:tbl>
    <w:p w14:paraId="3BF479D8" w14:textId="77777777" w:rsidR="00353A3B" w:rsidRDefault="00353A3B">
      <w:pPr>
        <w:rPr>
          <w:rFonts w:ascii="Verdana" w:hAnsi="Verdana"/>
          <w:color w:val="262626"/>
          <w:sz w:val="20"/>
          <w:szCs w:val="20"/>
        </w:rPr>
      </w:pPr>
    </w:p>
    <w:p w14:paraId="6E2395D5" w14:textId="77777777" w:rsidR="00810BA7" w:rsidRDefault="00810BA7">
      <w:pPr>
        <w:rPr>
          <w:rFonts w:ascii="Verdana" w:hAnsi="Verdana"/>
          <w:color w:val="262626"/>
          <w:sz w:val="20"/>
          <w:szCs w:val="20"/>
        </w:rPr>
      </w:pPr>
    </w:p>
    <w:p w14:paraId="66380E87" w14:textId="77777777" w:rsidR="00810BA7" w:rsidRDefault="00810BA7">
      <w:pPr>
        <w:rPr>
          <w:rFonts w:ascii="Verdana" w:hAnsi="Verdana"/>
          <w:color w:val="262626"/>
          <w:sz w:val="20"/>
          <w:szCs w:val="20"/>
        </w:rPr>
      </w:pPr>
    </w:p>
    <w:p w14:paraId="788CB283" w14:textId="77777777" w:rsidR="001634FF" w:rsidRDefault="001634FF" w:rsidP="001634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Verdana" w:hAnsi="Verdana" w:cs="Verdana"/>
          <w:sz w:val="20"/>
          <w:szCs w:val="20"/>
        </w:rPr>
      </w:pPr>
    </w:p>
    <w:p w14:paraId="4184CDC5" w14:textId="19303CBD" w:rsidR="001634FF" w:rsidRPr="00261D13" w:rsidRDefault="001634FF" w:rsidP="001634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Verdana" w:hAnsi="Verdana" w:cs="Verdana"/>
          <w:b/>
          <w:sz w:val="20"/>
          <w:szCs w:val="20"/>
        </w:rPr>
      </w:pPr>
      <w:r w:rsidRPr="00261D13">
        <w:rPr>
          <w:rFonts w:ascii="Verdana" w:hAnsi="Verdana" w:cs="Verdana"/>
          <w:b/>
          <w:sz w:val="20"/>
          <w:szCs w:val="20"/>
        </w:rPr>
        <w:t xml:space="preserve">– </w:t>
      </w:r>
      <w:r w:rsidR="00CC7194">
        <w:rPr>
          <w:rFonts w:ascii="Verdana" w:hAnsi="Verdana" w:cs="Verdana"/>
          <w:b/>
          <w:sz w:val="20"/>
          <w:szCs w:val="20"/>
        </w:rPr>
        <w:t>BORGWARD</w:t>
      </w:r>
      <w:r w:rsidR="00CC7194" w:rsidRPr="00CC7194">
        <w:rPr>
          <w:rFonts w:ascii="Verdana" w:hAnsi="Verdana" w:cs="Verdana"/>
          <w:b/>
          <w:sz w:val="20"/>
          <w:szCs w:val="20"/>
        </w:rPr>
        <w:t>-Werke machen 1951 Direkteinspritzer serienreif</w:t>
      </w:r>
    </w:p>
    <w:p w14:paraId="1ED6E90B" w14:textId="28B1D445" w:rsidR="001634FF" w:rsidRPr="00261D13" w:rsidRDefault="001634FF" w:rsidP="001634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Verdana" w:hAnsi="Verdana" w:cs="Verdana"/>
          <w:b/>
          <w:sz w:val="20"/>
          <w:szCs w:val="20"/>
        </w:rPr>
      </w:pPr>
      <w:r w:rsidRPr="00261D13">
        <w:rPr>
          <w:rFonts w:ascii="Verdana" w:hAnsi="Verdana" w:cs="Verdana"/>
          <w:b/>
          <w:sz w:val="20"/>
          <w:szCs w:val="20"/>
        </w:rPr>
        <w:t xml:space="preserve">– </w:t>
      </w:r>
      <w:r w:rsidR="00CC7194" w:rsidRPr="00CC7194">
        <w:rPr>
          <w:rFonts w:ascii="Verdana" w:hAnsi="Verdana" w:cs="Verdana"/>
          <w:b/>
          <w:sz w:val="20"/>
          <w:szCs w:val="20"/>
        </w:rPr>
        <w:t>Kundennutzen: bis zu 30 Prozent Benzinersparnis</w:t>
      </w:r>
    </w:p>
    <w:p w14:paraId="71561A36" w14:textId="4C5709C1" w:rsidR="001634FF" w:rsidRPr="00261D13" w:rsidRDefault="001634FF" w:rsidP="001634FF">
      <w:pPr>
        <w:rPr>
          <w:rFonts w:ascii="Verdana" w:hAnsi="Verdana"/>
          <w:b/>
          <w:color w:val="262626"/>
          <w:sz w:val="20"/>
          <w:szCs w:val="20"/>
        </w:rPr>
      </w:pPr>
      <w:r w:rsidRPr="00261D13">
        <w:rPr>
          <w:rFonts w:ascii="Verdana" w:hAnsi="Verdana" w:cs="Verdana"/>
          <w:b/>
          <w:sz w:val="20"/>
          <w:szCs w:val="20"/>
        </w:rPr>
        <w:t xml:space="preserve">– </w:t>
      </w:r>
      <w:r w:rsidR="00CC7194">
        <w:rPr>
          <w:rFonts w:ascii="Verdana" w:hAnsi="Verdana" w:cs="Verdana"/>
          <w:b/>
          <w:sz w:val="20"/>
          <w:szCs w:val="20"/>
        </w:rPr>
        <w:t>E</w:t>
      </w:r>
      <w:r w:rsidR="00CC7194" w:rsidRPr="00CC7194">
        <w:rPr>
          <w:rFonts w:ascii="Verdana" w:hAnsi="Verdana" w:cs="Verdana"/>
          <w:b/>
          <w:sz w:val="20"/>
          <w:szCs w:val="20"/>
        </w:rPr>
        <w:t>nge Zusammenarbeit mit den Experten von Bosch</w:t>
      </w:r>
    </w:p>
    <w:p w14:paraId="086943E9" w14:textId="77777777" w:rsidR="001634FF" w:rsidRPr="007B4FA8" w:rsidRDefault="001634FF">
      <w:pPr>
        <w:rPr>
          <w:rFonts w:ascii="Verdana" w:hAnsi="Verdana"/>
          <w:color w:val="262626"/>
          <w:sz w:val="20"/>
          <w:szCs w:val="20"/>
        </w:rPr>
      </w:pPr>
    </w:p>
    <w:p w14:paraId="2CF32DFC" w14:textId="77777777" w:rsidR="00CE093B" w:rsidRPr="007B4FA8" w:rsidRDefault="00CE093B">
      <w:pPr>
        <w:rPr>
          <w:rFonts w:ascii="Verdana" w:hAnsi="Verdana"/>
          <w:color w:val="262626"/>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4"/>
      </w:tblGrid>
      <w:tr w:rsidR="0074647F" w:rsidRPr="007B4FA8" w14:paraId="62A12BEA" w14:textId="77777777" w:rsidTr="0074647F">
        <w:tc>
          <w:tcPr>
            <w:tcW w:w="9204" w:type="dxa"/>
          </w:tcPr>
          <w:p w14:paraId="02C074D0" w14:textId="0C3D2094" w:rsidR="00E752C1" w:rsidRDefault="00E752C1" w:rsidP="001634FF">
            <w:pPr>
              <w:spacing w:line="400" w:lineRule="exact"/>
              <w:rPr>
                <w:rFonts w:ascii="Verdana" w:hAnsi="Verdana" w:cs="Verdana"/>
                <w:b/>
                <w:bCs/>
                <w:sz w:val="32"/>
                <w:szCs w:val="32"/>
              </w:rPr>
            </w:pPr>
            <w:r>
              <w:rPr>
                <w:rFonts w:ascii="Verdana" w:hAnsi="Verdana" w:cs="Verdana"/>
                <w:b/>
                <w:bCs/>
                <w:sz w:val="32"/>
                <w:szCs w:val="32"/>
              </w:rPr>
              <w:t>BORGWARD</w:t>
            </w:r>
            <w:r w:rsidRPr="00E752C1">
              <w:rPr>
                <w:rFonts w:ascii="Verdana" w:hAnsi="Verdana" w:cs="Verdana"/>
                <w:b/>
                <w:bCs/>
                <w:sz w:val="32"/>
                <w:szCs w:val="32"/>
              </w:rPr>
              <w:t xml:space="preserve">s Benzinspar-Clou: 1951 debütiert </w:t>
            </w:r>
          </w:p>
          <w:p w14:paraId="0837E036" w14:textId="2C4E05E3" w:rsidR="0074647F" w:rsidRPr="007B4FA8" w:rsidRDefault="00E752C1" w:rsidP="001634FF">
            <w:pPr>
              <w:spacing w:line="400" w:lineRule="exact"/>
              <w:rPr>
                <w:rFonts w:ascii="Verdana" w:hAnsi="Verdana"/>
                <w:b/>
                <w:color w:val="262626"/>
                <w:sz w:val="32"/>
                <w:szCs w:val="32"/>
              </w:rPr>
            </w:pPr>
            <w:r w:rsidRPr="00E752C1">
              <w:rPr>
                <w:rFonts w:ascii="Verdana" w:hAnsi="Verdana" w:cs="Verdana"/>
                <w:b/>
                <w:bCs/>
                <w:sz w:val="32"/>
                <w:szCs w:val="32"/>
              </w:rPr>
              <w:t>auf der IAA der Benzin-Direkteinspritzer im schnittigen Goliath Sportcoupé</w:t>
            </w:r>
          </w:p>
        </w:tc>
      </w:tr>
    </w:tbl>
    <w:p w14:paraId="5C1EA7F7" w14:textId="77777777" w:rsidR="0074647F" w:rsidRPr="007B4FA8" w:rsidRDefault="0074647F" w:rsidP="006A2619">
      <w:pPr>
        <w:spacing w:line="260" w:lineRule="exact"/>
        <w:rPr>
          <w:rFonts w:ascii="Verdana" w:hAnsi="Verdana"/>
          <w:color w:val="262626"/>
          <w:sz w:val="20"/>
          <w:szCs w:val="20"/>
        </w:rPr>
      </w:pPr>
    </w:p>
    <w:p w14:paraId="12D851BD" w14:textId="77777777" w:rsidR="001634FF" w:rsidRDefault="001634FF" w:rsidP="001634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Verdana" w:hAnsi="Verdana" w:cs="Verdana"/>
          <w:sz w:val="20"/>
          <w:szCs w:val="20"/>
        </w:rPr>
      </w:pPr>
    </w:p>
    <w:p w14:paraId="2834C2A8" w14:textId="5BC9FAFA" w:rsidR="0011253C" w:rsidRPr="0011253C" w:rsidRDefault="0011253C" w:rsidP="0011253C">
      <w:pPr>
        <w:spacing w:line="260" w:lineRule="exact"/>
        <w:jc w:val="both"/>
        <w:rPr>
          <w:rFonts w:ascii="Verdana" w:hAnsi="Verdana" w:cs="Verdana"/>
          <w:sz w:val="20"/>
          <w:szCs w:val="20"/>
        </w:rPr>
      </w:pPr>
      <w:r w:rsidRPr="0011253C">
        <w:rPr>
          <w:rFonts w:ascii="Verdana" w:hAnsi="Verdana" w:cs="Verdana"/>
          <w:sz w:val="20"/>
          <w:szCs w:val="20"/>
        </w:rPr>
        <w:t xml:space="preserve">Der Zweitaktmotor war bei den Goliath-Automobilen der </w:t>
      </w:r>
      <w:r>
        <w:rPr>
          <w:rFonts w:ascii="Verdana" w:hAnsi="Verdana" w:cs="Verdana"/>
          <w:sz w:val="20"/>
          <w:szCs w:val="20"/>
        </w:rPr>
        <w:t>BORGWARD</w:t>
      </w:r>
      <w:r w:rsidRPr="0011253C">
        <w:rPr>
          <w:rFonts w:ascii="Verdana" w:hAnsi="Verdana" w:cs="Verdana"/>
          <w:sz w:val="20"/>
          <w:szCs w:val="20"/>
        </w:rPr>
        <w:t xml:space="preserve">-Werke nach dem Krieg gesetzt. Robust und einfach konstruiert, sollte er die Massenmotorisierung per Auto in Deutschland auch für jene vorantreiben, die sich bisher nur ein Motorrad leisten konnten. Doch die Marke Goliath strebte längst weiter nach oben. Mit dem im März 1950 präsentierten Goliath GP 700 schufen die Bremer einen für diese </w:t>
      </w:r>
      <w:r>
        <w:rPr>
          <w:rFonts w:ascii="Verdana" w:hAnsi="Verdana" w:cs="Verdana"/>
          <w:sz w:val="20"/>
          <w:szCs w:val="20"/>
        </w:rPr>
        <w:t xml:space="preserve">Käufer erreichbaren Traumwagen, </w:t>
      </w:r>
      <w:r w:rsidRPr="0011253C">
        <w:rPr>
          <w:rFonts w:ascii="Verdana" w:hAnsi="Verdana" w:cs="Verdana"/>
          <w:sz w:val="20"/>
          <w:szCs w:val="20"/>
        </w:rPr>
        <w:t xml:space="preserve">der etwas teurer als der VW Käfer war. Spätestens jetzt war es für Carl F. W. Borgward höchste Zeit, an den Nachteilen des Zweitakters zu arbeiten: Unsaubere Gaswechsel schränkten den Komfort ein, und sogenannte Spülverluste trieben den Spritdurst nach oben. 1949 entschied sich </w:t>
      </w:r>
      <w:r>
        <w:rPr>
          <w:rFonts w:ascii="Verdana" w:hAnsi="Verdana" w:cs="Verdana"/>
          <w:sz w:val="20"/>
          <w:szCs w:val="20"/>
        </w:rPr>
        <w:t>BORGWARD</w:t>
      </w:r>
      <w:r w:rsidRPr="0011253C">
        <w:rPr>
          <w:rFonts w:ascii="Verdana" w:hAnsi="Verdana" w:cs="Verdana"/>
          <w:sz w:val="20"/>
          <w:szCs w:val="20"/>
        </w:rPr>
        <w:t xml:space="preserve"> deshalb, bei seinen Zweitaktmotoren die Umkehrspülung mit Flachkolben einzusetzen, und zahlte dafür </w:t>
      </w:r>
      <w:r>
        <w:rPr>
          <w:rFonts w:ascii="Verdana" w:hAnsi="Verdana" w:cs="Verdana"/>
          <w:sz w:val="20"/>
          <w:szCs w:val="20"/>
        </w:rPr>
        <w:br/>
      </w:r>
      <w:r w:rsidRPr="0011253C">
        <w:rPr>
          <w:rFonts w:ascii="Verdana" w:hAnsi="Verdana" w:cs="Verdana"/>
          <w:sz w:val="20"/>
          <w:szCs w:val="20"/>
        </w:rPr>
        <w:t>dem Patentinhaber Humboldt-Deutz Gebühren. Der Komfortgewinn wie die Kraftstoffeinsparung waren deutlich spürbar.</w:t>
      </w:r>
    </w:p>
    <w:p w14:paraId="0B1C7962" w14:textId="77777777" w:rsidR="0011253C" w:rsidRPr="0011253C" w:rsidRDefault="0011253C" w:rsidP="0011253C">
      <w:pPr>
        <w:spacing w:line="260" w:lineRule="exact"/>
        <w:jc w:val="both"/>
        <w:rPr>
          <w:rFonts w:ascii="Verdana" w:hAnsi="Verdana" w:cs="Verdana"/>
          <w:sz w:val="20"/>
          <w:szCs w:val="20"/>
        </w:rPr>
      </w:pPr>
    </w:p>
    <w:p w14:paraId="5E69499D" w14:textId="43EFE373" w:rsidR="0011253C" w:rsidRPr="0011253C" w:rsidRDefault="0011253C" w:rsidP="0011253C">
      <w:pPr>
        <w:spacing w:line="260" w:lineRule="exact"/>
        <w:jc w:val="both"/>
        <w:rPr>
          <w:rFonts w:ascii="Verdana" w:hAnsi="Verdana" w:cs="Verdana"/>
          <w:sz w:val="20"/>
          <w:szCs w:val="20"/>
        </w:rPr>
      </w:pPr>
      <w:r w:rsidRPr="0011253C">
        <w:rPr>
          <w:rFonts w:ascii="Verdana" w:hAnsi="Verdana" w:cs="Verdana"/>
          <w:sz w:val="20"/>
          <w:szCs w:val="20"/>
        </w:rPr>
        <w:t xml:space="preserve">Doch zufrieden war der Chef immer noch nicht und machte zusammen mit seinem Entwicklungsteam und dem Zulieferer Bosch eine Gemischaufbereitung serienreif, die heute in beinahe jedem modernen Pkw steckt: die Benzin-Direkteinspritzung. Der </w:t>
      </w:r>
      <w:r w:rsidR="00445C14">
        <w:rPr>
          <w:rFonts w:ascii="Verdana" w:hAnsi="Verdana" w:cs="Verdana"/>
          <w:sz w:val="20"/>
          <w:szCs w:val="20"/>
        </w:rPr>
        <w:t>ehemalige Chef des Konstrukteur</w:t>
      </w:r>
      <w:r w:rsidRPr="0011253C">
        <w:rPr>
          <w:rFonts w:ascii="Verdana" w:hAnsi="Verdana" w:cs="Verdana"/>
          <w:sz w:val="20"/>
          <w:szCs w:val="20"/>
        </w:rPr>
        <w:t>büros INKA und Zweitaktexperte August Momberger wurde 1950 Technischer Direktor der Goliath-Werke und brachte die Idee einer Einspritzung von seinem ehemaligen Arbeitgeber, der Auto Union, mit. Die Vorteile einer Direkteinspritzung lagen gerade beim Zweitakter auf der Hand</w:t>
      </w:r>
      <w:r w:rsidR="00445C14" w:rsidRPr="0011253C">
        <w:rPr>
          <w:rFonts w:ascii="Verdana" w:hAnsi="Verdana" w:cs="Verdana"/>
          <w:sz w:val="20"/>
          <w:szCs w:val="20"/>
        </w:rPr>
        <w:t>:</w:t>
      </w:r>
      <w:r w:rsidR="00445C14">
        <w:rPr>
          <w:rFonts w:ascii="Verdana" w:hAnsi="Verdana" w:cs="Verdana"/>
          <w:sz w:val="20"/>
          <w:szCs w:val="20"/>
        </w:rPr>
        <w:t xml:space="preserve"> </w:t>
      </w:r>
      <w:r w:rsidR="00445C14" w:rsidRPr="0011253C">
        <w:rPr>
          <w:rFonts w:ascii="Verdana" w:hAnsi="Verdana" w:cs="Verdana"/>
          <w:sz w:val="20"/>
          <w:szCs w:val="20"/>
        </w:rPr>
        <w:t>Die</w:t>
      </w:r>
      <w:r w:rsidRPr="0011253C">
        <w:rPr>
          <w:rFonts w:ascii="Verdana" w:hAnsi="Verdana" w:cs="Verdana"/>
          <w:sz w:val="20"/>
          <w:szCs w:val="20"/>
        </w:rPr>
        <w:t xml:space="preserve"> Altgase werden mit Luft aus dem Zylinder gedrückt, erst später spritzt die Düse den reinen Kraftstoff in den Verbrennungsraum. Mögliche theoretische Spritersparnis durch diese wegweisende Technik: bis zu 30 Prozent. Den Komfortvorteil bei der Gasannahme gab's gratis dazu.</w:t>
      </w:r>
    </w:p>
    <w:p w14:paraId="083A01E7" w14:textId="77777777" w:rsidR="0011253C" w:rsidRPr="0011253C" w:rsidRDefault="0011253C" w:rsidP="0011253C">
      <w:pPr>
        <w:spacing w:line="260" w:lineRule="exact"/>
        <w:jc w:val="both"/>
        <w:rPr>
          <w:rFonts w:ascii="Verdana" w:hAnsi="Verdana" w:cs="Verdana"/>
          <w:sz w:val="20"/>
          <w:szCs w:val="20"/>
        </w:rPr>
      </w:pPr>
    </w:p>
    <w:p w14:paraId="3467A3AE" w14:textId="392135D6" w:rsidR="0011253C" w:rsidRPr="0011253C" w:rsidRDefault="0011253C" w:rsidP="0011253C">
      <w:pPr>
        <w:spacing w:line="260" w:lineRule="exact"/>
        <w:jc w:val="both"/>
        <w:rPr>
          <w:rFonts w:ascii="Verdana" w:hAnsi="Verdana" w:cs="Verdana"/>
          <w:sz w:val="20"/>
          <w:szCs w:val="20"/>
        </w:rPr>
      </w:pPr>
      <w:r w:rsidRPr="0011253C">
        <w:rPr>
          <w:rFonts w:ascii="Verdana" w:hAnsi="Verdana" w:cs="Verdana"/>
          <w:sz w:val="20"/>
          <w:szCs w:val="20"/>
        </w:rPr>
        <w:t xml:space="preserve">Carl F. W. Borgward ließ in seiner typischen Art nicht locker und machte die zukunftsträchtige Gemischaufbereitung zusammen mit Bosch serienreif. Nach drei Jahren Entwicklungsarbeit präsentierte die </w:t>
      </w:r>
      <w:r w:rsidR="00445C14">
        <w:rPr>
          <w:rFonts w:ascii="Verdana" w:hAnsi="Verdana" w:cs="Verdana"/>
          <w:sz w:val="20"/>
          <w:szCs w:val="20"/>
        </w:rPr>
        <w:t>BORGWARD</w:t>
      </w:r>
      <w:r w:rsidRPr="0011253C">
        <w:rPr>
          <w:rFonts w:ascii="Verdana" w:hAnsi="Verdana" w:cs="Verdana"/>
          <w:sz w:val="20"/>
          <w:szCs w:val="20"/>
        </w:rPr>
        <w:t xml:space="preserve">-Marke Goliath auf der IAA 1951 im April in Frankfurt neben Gutbrod als erster Automobilhersteller ein Fahrzeug mit Benzin-Direkteinspritzung: das Goliath Sportcoupé – einen weiteren technischen Meilenstein der Bremer. Der neue Zweitakter verbrauchte nur noch 5,9 Liter auf 100 Kilometer und leistete mit 29 PS zehn Prozent mehr. Der spezifische Verbrauch sank von 330 Gramm </w:t>
      </w:r>
      <w:r w:rsidRPr="0011253C">
        <w:rPr>
          <w:rFonts w:ascii="Verdana" w:hAnsi="Verdana" w:cs="Verdana"/>
          <w:sz w:val="20"/>
          <w:szCs w:val="20"/>
        </w:rPr>
        <w:lastRenderedPageBreak/>
        <w:t>pro PS und Stunde auf 225, das entspricht sogar etwas mehr als de</w:t>
      </w:r>
      <w:r w:rsidR="00445C14">
        <w:rPr>
          <w:rFonts w:ascii="Verdana" w:hAnsi="Verdana" w:cs="Verdana"/>
          <w:sz w:val="20"/>
          <w:szCs w:val="20"/>
        </w:rPr>
        <w:t>n</w:t>
      </w:r>
      <w:r w:rsidRPr="0011253C">
        <w:rPr>
          <w:rFonts w:ascii="Verdana" w:hAnsi="Verdana" w:cs="Verdana"/>
          <w:sz w:val="20"/>
          <w:szCs w:val="20"/>
        </w:rPr>
        <w:t xml:space="preserve"> von den Technikern prognostizierten 30 Prozent.</w:t>
      </w:r>
    </w:p>
    <w:p w14:paraId="06FF1CDC" w14:textId="77777777" w:rsidR="0011253C" w:rsidRPr="0011253C" w:rsidRDefault="0011253C" w:rsidP="0011253C">
      <w:pPr>
        <w:spacing w:line="260" w:lineRule="exact"/>
        <w:jc w:val="both"/>
        <w:rPr>
          <w:rFonts w:ascii="Verdana" w:hAnsi="Verdana" w:cs="Verdana"/>
          <w:sz w:val="20"/>
          <w:szCs w:val="20"/>
        </w:rPr>
      </w:pPr>
    </w:p>
    <w:p w14:paraId="0402E4D0" w14:textId="101FB215" w:rsidR="0011253C" w:rsidRPr="0011253C" w:rsidRDefault="0011253C" w:rsidP="0011253C">
      <w:pPr>
        <w:spacing w:line="260" w:lineRule="exact"/>
        <w:jc w:val="both"/>
        <w:rPr>
          <w:rFonts w:ascii="Verdana" w:hAnsi="Verdana" w:cs="Verdana"/>
          <w:sz w:val="20"/>
          <w:szCs w:val="20"/>
        </w:rPr>
      </w:pPr>
      <w:r w:rsidRPr="0011253C">
        <w:rPr>
          <w:rFonts w:ascii="Verdana" w:hAnsi="Verdana" w:cs="Verdana"/>
          <w:sz w:val="20"/>
          <w:szCs w:val="20"/>
        </w:rPr>
        <w:t xml:space="preserve">Auf Goliath-Manager August Momberger ging die Idee zurück, mit der Einführung des Direkteinspritzers auch das Sportcoupé zu lancieren, der neuen Technik also auch ein frisches Gesicht zu verleihen. Im Frühjahr 1951 fertigte der Delmenhorster Karosseriebauer Rudy zwei Coupés auf Basis der Goliath-Limousine, später folgten sehr ähnliche Zweitürer mit schnittiger Karosserie aus dem Hause Rometsch. Extra für die formschönen Coupés bohrte </w:t>
      </w:r>
      <w:r w:rsidR="00445C14">
        <w:rPr>
          <w:rFonts w:ascii="Verdana" w:hAnsi="Verdana" w:cs="Verdana"/>
          <w:sz w:val="20"/>
          <w:szCs w:val="20"/>
        </w:rPr>
        <w:t>BORGWARD</w:t>
      </w:r>
      <w:r w:rsidRPr="0011253C">
        <w:rPr>
          <w:rFonts w:ascii="Verdana" w:hAnsi="Verdana" w:cs="Verdana"/>
          <w:sz w:val="20"/>
          <w:szCs w:val="20"/>
        </w:rPr>
        <w:t xml:space="preserve"> später den Zweitakter mit Direkteinspritzung auf 845 Kubikzentimeter auf und erreichte mit 36 PS eine Leistung, die 1951 fast an den 1100er-Boxer von Porsche heranreichte. Diese Leistungssteigerung erhielten aber nur die später gebauten Rometsch-Coupés. Insgesamt wurden vom Coupé 27 Stück gefertigt. Die neue Technik war damals so modern, dass anfangs viele Werkstätten diese Gemischaufbereitung nicht warten konnten. Trotzdem verfolgte Carl F. W. Borgward ihre Serieneinführung mit dem für ihn typischen Nachdruck, weil er vom Kundenvorteil der Benzin-Direkteinspritzung überzeugt war.</w:t>
      </w:r>
    </w:p>
    <w:p w14:paraId="7E10BE93" w14:textId="77777777" w:rsidR="0011253C" w:rsidRPr="0011253C" w:rsidRDefault="0011253C" w:rsidP="0011253C">
      <w:pPr>
        <w:spacing w:line="260" w:lineRule="exact"/>
        <w:jc w:val="both"/>
        <w:rPr>
          <w:rFonts w:ascii="Verdana" w:hAnsi="Verdana" w:cs="Verdana"/>
          <w:sz w:val="20"/>
          <w:szCs w:val="20"/>
        </w:rPr>
      </w:pPr>
    </w:p>
    <w:p w14:paraId="2DACEC59" w14:textId="1A89EF42" w:rsidR="006A2619" w:rsidRPr="00071D5E" w:rsidRDefault="0011253C" w:rsidP="00071D5E">
      <w:pPr>
        <w:spacing w:line="260" w:lineRule="exact"/>
        <w:jc w:val="both"/>
        <w:rPr>
          <w:rFonts w:ascii="Verdana" w:hAnsi="Verdana" w:cs="Verdana"/>
          <w:sz w:val="20"/>
          <w:szCs w:val="20"/>
        </w:rPr>
      </w:pPr>
      <w:r w:rsidRPr="0011253C">
        <w:rPr>
          <w:rFonts w:ascii="Verdana" w:hAnsi="Verdana" w:cs="Verdana"/>
          <w:sz w:val="20"/>
          <w:szCs w:val="20"/>
        </w:rPr>
        <w:t xml:space="preserve">Die Benzin-Direkteinspritzung adelte drei Jahre später die heutige Sportwagen-Ikone schlechthin, den Mercedes-Benz 300 SL Flügeltürer, ist heute längst fester Bestandteil jedes modernen Verbrennungsmotors und hilft dabei, Verbrauch und Abgaswerte </w:t>
      </w:r>
      <w:r w:rsidR="00445C14">
        <w:rPr>
          <w:rFonts w:ascii="Verdana" w:hAnsi="Verdana" w:cs="Verdana"/>
          <w:sz w:val="20"/>
          <w:szCs w:val="20"/>
        </w:rPr>
        <w:br/>
      </w:r>
      <w:r w:rsidRPr="0011253C">
        <w:rPr>
          <w:rFonts w:ascii="Verdana" w:hAnsi="Verdana" w:cs="Verdana"/>
          <w:sz w:val="20"/>
          <w:szCs w:val="20"/>
        </w:rPr>
        <w:t xml:space="preserve">zu optimieren. Optimales Abgasverhalten und Effizienz sind wichtige Konstruktionsprinzipien, die auch im neuen </w:t>
      </w:r>
      <w:r w:rsidR="00445C14">
        <w:rPr>
          <w:rFonts w:ascii="Verdana" w:hAnsi="Verdana" w:cs="Verdana"/>
          <w:sz w:val="20"/>
          <w:szCs w:val="20"/>
        </w:rPr>
        <w:t>BORGWARD</w:t>
      </w:r>
      <w:r w:rsidRPr="0011253C">
        <w:rPr>
          <w:rFonts w:ascii="Verdana" w:hAnsi="Verdana" w:cs="Verdana"/>
          <w:sz w:val="20"/>
          <w:szCs w:val="20"/>
        </w:rPr>
        <w:t xml:space="preserve"> konsequent umgesetzt sind, der auf der diesjährigen IAA in Frankfurt sein Debüt </w:t>
      </w:r>
      <w:r w:rsidR="00B17A68">
        <w:rPr>
          <w:rFonts w:ascii="Verdana" w:hAnsi="Verdana" w:cs="Verdana"/>
          <w:sz w:val="20"/>
          <w:szCs w:val="20"/>
        </w:rPr>
        <w:t>gegeben hat</w:t>
      </w:r>
      <w:bookmarkStart w:id="0" w:name="_GoBack"/>
      <w:bookmarkEnd w:id="0"/>
      <w:r w:rsidRPr="0011253C">
        <w:rPr>
          <w:rFonts w:ascii="Verdana" w:hAnsi="Verdana" w:cs="Verdana"/>
          <w:sz w:val="20"/>
          <w:szCs w:val="20"/>
        </w:rPr>
        <w:t>.</w:t>
      </w:r>
    </w:p>
    <w:tbl>
      <w:tblPr>
        <w:tblStyle w:val="Tabellenraster"/>
        <w:tblpPr w:leftFromText="141" w:rightFromText="141" w:vertAnchor="page" w:horzAnchor="page" w:tblpX="1527" w:tblpY="139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260"/>
        <w:gridCol w:w="3089"/>
        <w:gridCol w:w="17"/>
      </w:tblGrid>
      <w:tr w:rsidR="001634FF" w:rsidRPr="007B4FA8" w14:paraId="1C85B9A9" w14:textId="77777777" w:rsidTr="00261D13">
        <w:trPr>
          <w:gridAfter w:val="1"/>
          <w:wAfter w:w="17" w:type="dxa"/>
        </w:trPr>
        <w:tc>
          <w:tcPr>
            <w:tcW w:w="8725" w:type="dxa"/>
            <w:gridSpan w:val="3"/>
          </w:tcPr>
          <w:p w14:paraId="05B56F91" w14:textId="77777777" w:rsidR="001634FF" w:rsidRPr="007B4FA8" w:rsidRDefault="001634FF" w:rsidP="00261D13">
            <w:pPr>
              <w:spacing w:line="260" w:lineRule="exact"/>
              <w:rPr>
                <w:rFonts w:ascii="Verdana" w:hAnsi="Verdana"/>
                <w:color w:val="262626"/>
                <w:sz w:val="20"/>
                <w:szCs w:val="20"/>
              </w:rPr>
            </w:pPr>
            <w:r w:rsidRPr="007B4FA8">
              <w:rPr>
                <w:rFonts w:ascii="Verdana-Bold" w:hAnsi="Verdana-Bold" w:cs="Verdana-Bold"/>
                <w:b/>
                <w:bCs/>
                <w:color w:val="262626"/>
                <w:sz w:val="20"/>
                <w:szCs w:val="20"/>
              </w:rPr>
              <w:t>Weitere Informationen</w:t>
            </w:r>
          </w:p>
        </w:tc>
      </w:tr>
      <w:tr w:rsidR="001634FF" w:rsidRPr="007B4FA8" w14:paraId="03C98FA4" w14:textId="77777777" w:rsidTr="00261D13">
        <w:tc>
          <w:tcPr>
            <w:tcW w:w="2376" w:type="dxa"/>
          </w:tcPr>
          <w:p w14:paraId="513053C6" w14:textId="77777777" w:rsidR="001634FF" w:rsidRPr="007B4FA8" w:rsidRDefault="001634FF" w:rsidP="00261D13">
            <w:pPr>
              <w:spacing w:line="260" w:lineRule="exact"/>
              <w:rPr>
                <w:rFonts w:ascii="Verdana" w:hAnsi="Verdana"/>
                <w:color w:val="262626"/>
                <w:sz w:val="18"/>
                <w:szCs w:val="18"/>
              </w:rPr>
            </w:pPr>
          </w:p>
        </w:tc>
        <w:tc>
          <w:tcPr>
            <w:tcW w:w="3260" w:type="dxa"/>
          </w:tcPr>
          <w:p w14:paraId="460AA26E" w14:textId="77777777" w:rsidR="001634FF" w:rsidRPr="007B4FA8" w:rsidRDefault="001634FF" w:rsidP="00261D13">
            <w:pPr>
              <w:spacing w:line="260" w:lineRule="exact"/>
              <w:rPr>
                <w:rFonts w:ascii="Verdana" w:hAnsi="Verdana"/>
                <w:color w:val="262626"/>
                <w:sz w:val="18"/>
                <w:szCs w:val="18"/>
              </w:rPr>
            </w:pPr>
          </w:p>
        </w:tc>
        <w:tc>
          <w:tcPr>
            <w:tcW w:w="3106" w:type="dxa"/>
            <w:gridSpan w:val="2"/>
          </w:tcPr>
          <w:p w14:paraId="21062516" w14:textId="77777777" w:rsidR="001634FF" w:rsidRPr="007B4FA8" w:rsidRDefault="001634FF" w:rsidP="00261D13">
            <w:pPr>
              <w:spacing w:line="260" w:lineRule="exact"/>
              <w:rPr>
                <w:rFonts w:ascii="Verdana" w:hAnsi="Verdana"/>
                <w:color w:val="262626"/>
                <w:sz w:val="18"/>
                <w:szCs w:val="18"/>
              </w:rPr>
            </w:pPr>
          </w:p>
        </w:tc>
      </w:tr>
      <w:tr w:rsidR="00E00AF9" w:rsidRPr="007B4FA8" w14:paraId="55369C69" w14:textId="77777777" w:rsidTr="00261D13">
        <w:tc>
          <w:tcPr>
            <w:tcW w:w="2376" w:type="dxa"/>
          </w:tcPr>
          <w:p w14:paraId="44B07A80" w14:textId="77777777" w:rsidR="00E00AF9" w:rsidRPr="007B4FA8" w:rsidRDefault="00E00AF9" w:rsidP="00E00AF9">
            <w:pPr>
              <w:spacing w:line="240" w:lineRule="exact"/>
              <w:rPr>
                <w:rFonts w:ascii="Verdana" w:hAnsi="Verdana"/>
                <w:color w:val="262626"/>
                <w:sz w:val="16"/>
                <w:szCs w:val="16"/>
              </w:rPr>
            </w:pPr>
            <w:r w:rsidRPr="007B4FA8">
              <w:rPr>
                <w:rFonts w:ascii="Verdana" w:hAnsi="Verdana"/>
                <w:color w:val="262626"/>
                <w:sz w:val="16"/>
                <w:szCs w:val="16"/>
              </w:rPr>
              <w:t xml:space="preserve">BORGWARD </w:t>
            </w:r>
            <w:r>
              <w:rPr>
                <w:rFonts w:ascii="Verdana" w:hAnsi="Verdana"/>
                <w:color w:val="262626"/>
                <w:sz w:val="16"/>
                <w:szCs w:val="16"/>
              </w:rPr>
              <w:t>Group</w:t>
            </w:r>
            <w:r w:rsidRPr="007B4FA8">
              <w:rPr>
                <w:rFonts w:ascii="Verdana" w:hAnsi="Verdana"/>
                <w:color w:val="262626"/>
                <w:sz w:val="16"/>
                <w:szCs w:val="16"/>
              </w:rPr>
              <w:t xml:space="preserve"> AG</w:t>
            </w:r>
          </w:p>
          <w:p w14:paraId="41584822" w14:textId="77777777" w:rsidR="00E00AF9" w:rsidRPr="007B4FA8" w:rsidRDefault="00E00AF9" w:rsidP="00E00AF9">
            <w:pPr>
              <w:spacing w:line="240" w:lineRule="exact"/>
              <w:rPr>
                <w:rFonts w:ascii="Verdana" w:hAnsi="Verdana"/>
                <w:color w:val="262626"/>
                <w:sz w:val="16"/>
                <w:szCs w:val="16"/>
              </w:rPr>
            </w:pPr>
            <w:r w:rsidRPr="007B4FA8">
              <w:rPr>
                <w:rFonts w:ascii="Verdana" w:hAnsi="Verdana"/>
                <w:color w:val="262626"/>
                <w:sz w:val="16"/>
                <w:szCs w:val="16"/>
              </w:rPr>
              <w:t>Kriegsbergstrasse 11</w:t>
            </w:r>
          </w:p>
          <w:p w14:paraId="77E4824B" w14:textId="72D40CB3" w:rsidR="00E00AF9" w:rsidRPr="007B4FA8" w:rsidRDefault="00E00AF9" w:rsidP="00E00AF9">
            <w:pPr>
              <w:spacing w:line="240" w:lineRule="exact"/>
              <w:rPr>
                <w:rFonts w:ascii="Verdana" w:hAnsi="Verdana"/>
                <w:color w:val="262626"/>
                <w:sz w:val="16"/>
                <w:szCs w:val="16"/>
              </w:rPr>
            </w:pPr>
            <w:r w:rsidRPr="007B4FA8">
              <w:rPr>
                <w:rFonts w:ascii="Verdana" w:hAnsi="Verdana"/>
                <w:color w:val="262626"/>
                <w:sz w:val="16"/>
                <w:szCs w:val="16"/>
              </w:rPr>
              <w:t>70174 Stuttgart</w:t>
            </w:r>
          </w:p>
        </w:tc>
        <w:tc>
          <w:tcPr>
            <w:tcW w:w="3260" w:type="dxa"/>
          </w:tcPr>
          <w:p w14:paraId="0BBFD62E" w14:textId="77777777" w:rsidR="00E00AF9" w:rsidRPr="007B4FA8" w:rsidRDefault="00E00AF9" w:rsidP="00E00AF9">
            <w:pPr>
              <w:spacing w:line="240" w:lineRule="exact"/>
              <w:rPr>
                <w:rFonts w:ascii="Verdana" w:hAnsi="Verdana"/>
                <w:color w:val="262626"/>
                <w:sz w:val="16"/>
                <w:szCs w:val="16"/>
              </w:rPr>
            </w:pPr>
            <w:r>
              <w:rPr>
                <w:rFonts w:ascii="Verdana" w:hAnsi="Verdana"/>
                <w:color w:val="262626"/>
                <w:sz w:val="16"/>
                <w:szCs w:val="16"/>
              </w:rPr>
              <w:t>Marco Dalan</w:t>
            </w:r>
          </w:p>
          <w:p w14:paraId="598861CD" w14:textId="77777777" w:rsidR="00E00AF9" w:rsidRPr="007B4FA8" w:rsidRDefault="00E00AF9" w:rsidP="00E00AF9">
            <w:pPr>
              <w:spacing w:line="240" w:lineRule="exact"/>
              <w:rPr>
                <w:rFonts w:ascii="Verdana" w:hAnsi="Verdana"/>
                <w:color w:val="262626"/>
                <w:sz w:val="16"/>
                <w:szCs w:val="16"/>
              </w:rPr>
            </w:pPr>
            <w:r>
              <w:rPr>
                <w:rFonts w:ascii="Verdana" w:hAnsi="Verdana"/>
                <w:color w:val="262626"/>
                <w:sz w:val="16"/>
                <w:szCs w:val="16"/>
              </w:rPr>
              <w:t>Head of Global</w:t>
            </w:r>
            <w:r w:rsidRPr="007B4FA8">
              <w:rPr>
                <w:rFonts w:ascii="Verdana" w:hAnsi="Verdana"/>
                <w:color w:val="262626"/>
                <w:sz w:val="16"/>
                <w:szCs w:val="16"/>
              </w:rPr>
              <w:t xml:space="preserve"> Communications</w:t>
            </w:r>
          </w:p>
          <w:p w14:paraId="45F3A417" w14:textId="601CCD10" w:rsidR="00E00AF9" w:rsidRPr="007B4FA8" w:rsidRDefault="00E00AF9" w:rsidP="00E00AF9">
            <w:pPr>
              <w:tabs>
                <w:tab w:val="left" w:pos="245"/>
              </w:tabs>
              <w:spacing w:line="240" w:lineRule="exact"/>
              <w:rPr>
                <w:rFonts w:ascii="Verdana" w:hAnsi="Verdana"/>
                <w:color w:val="262626"/>
                <w:sz w:val="16"/>
                <w:szCs w:val="16"/>
              </w:rPr>
            </w:pPr>
            <w:r>
              <w:rPr>
                <w:rFonts w:ascii="Verdana" w:hAnsi="Verdana"/>
                <w:b/>
                <w:color w:val="262626"/>
                <w:sz w:val="16"/>
                <w:szCs w:val="16"/>
              </w:rPr>
              <w:t xml:space="preserve">Telefon </w:t>
            </w:r>
            <w:r w:rsidRPr="007B4FA8">
              <w:rPr>
                <w:rFonts w:ascii="Verdana" w:hAnsi="Verdana"/>
                <w:b/>
                <w:color w:val="262626"/>
                <w:sz w:val="16"/>
                <w:szCs w:val="16"/>
              </w:rPr>
              <w:tab/>
            </w:r>
            <w:r w:rsidRPr="007B4FA8">
              <w:rPr>
                <w:rFonts w:ascii="Verdana" w:hAnsi="Verdana"/>
                <w:color w:val="262626"/>
                <w:sz w:val="16"/>
                <w:szCs w:val="16"/>
              </w:rPr>
              <w:t>+</w:t>
            </w:r>
            <w:r>
              <w:rPr>
                <w:rFonts w:ascii="Verdana" w:hAnsi="Verdana"/>
                <w:color w:val="262626"/>
                <w:sz w:val="16"/>
                <w:szCs w:val="16"/>
              </w:rPr>
              <w:t>49 711 7941851000</w:t>
            </w:r>
          </w:p>
        </w:tc>
        <w:tc>
          <w:tcPr>
            <w:tcW w:w="3106" w:type="dxa"/>
            <w:gridSpan w:val="2"/>
          </w:tcPr>
          <w:p w14:paraId="2EEAD927" w14:textId="77777777" w:rsidR="00E00AF9" w:rsidRPr="007B4FA8" w:rsidRDefault="00E00AF9" w:rsidP="00E00AF9">
            <w:pPr>
              <w:tabs>
                <w:tab w:val="left" w:pos="321"/>
              </w:tabs>
              <w:spacing w:line="240" w:lineRule="exact"/>
              <w:rPr>
                <w:rFonts w:ascii="Verdana" w:hAnsi="Verdana"/>
                <w:color w:val="262626"/>
                <w:sz w:val="16"/>
                <w:szCs w:val="16"/>
              </w:rPr>
            </w:pPr>
            <w:r w:rsidRPr="007B4FA8">
              <w:rPr>
                <w:rFonts w:ascii="Verdana" w:hAnsi="Verdana"/>
                <w:b/>
                <w:color w:val="262626"/>
                <w:sz w:val="16"/>
                <w:szCs w:val="16"/>
              </w:rPr>
              <w:t>E</w:t>
            </w:r>
            <w:r>
              <w:rPr>
                <w:rFonts w:ascii="Verdana" w:hAnsi="Verdana"/>
                <w:b/>
                <w:color w:val="262626"/>
                <w:sz w:val="16"/>
                <w:szCs w:val="16"/>
              </w:rPr>
              <w:t xml:space="preserve">-Mail </w:t>
            </w:r>
            <w:r w:rsidRPr="007B4FA8">
              <w:rPr>
                <w:rFonts w:ascii="Verdana" w:hAnsi="Verdana"/>
                <w:b/>
                <w:color w:val="262626"/>
                <w:sz w:val="16"/>
                <w:szCs w:val="16"/>
              </w:rPr>
              <w:tab/>
            </w:r>
            <w:r w:rsidRPr="007B4FA8">
              <w:rPr>
                <w:rFonts w:ascii="Verdana" w:hAnsi="Verdana"/>
                <w:color w:val="262626"/>
                <w:sz w:val="16"/>
                <w:szCs w:val="16"/>
              </w:rPr>
              <w:t>media@borgward.com</w:t>
            </w:r>
          </w:p>
          <w:p w14:paraId="02997BFF" w14:textId="77777777" w:rsidR="00E00AF9" w:rsidRPr="007B4FA8" w:rsidRDefault="00E00AF9" w:rsidP="00E00AF9">
            <w:pPr>
              <w:tabs>
                <w:tab w:val="left" w:pos="321"/>
              </w:tabs>
              <w:spacing w:line="240" w:lineRule="exact"/>
              <w:rPr>
                <w:rFonts w:ascii="Verdana" w:hAnsi="Verdana"/>
                <w:color w:val="262626"/>
                <w:sz w:val="16"/>
                <w:szCs w:val="16"/>
              </w:rPr>
            </w:pPr>
            <w:r w:rsidRPr="007B4FA8">
              <w:rPr>
                <w:rFonts w:ascii="Verdana" w:hAnsi="Verdana"/>
                <w:color w:val="262626"/>
                <w:sz w:val="16"/>
                <w:szCs w:val="16"/>
              </w:rPr>
              <w:t>www.borgward.com</w:t>
            </w:r>
          </w:p>
        </w:tc>
      </w:tr>
    </w:tbl>
    <w:p w14:paraId="5DF3E83A" w14:textId="77777777" w:rsidR="006A2619" w:rsidRPr="007B4FA8" w:rsidRDefault="006A2619" w:rsidP="00721389">
      <w:pPr>
        <w:spacing w:line="260" w:lineRule="exact"/>
        <w:rPr>
          <w:rFonts w:ascii="Verdana" w:hAnsi="Verdana"/>
          <w:color w:val="262626"/>
          <w:sz w:val="20"/>
          <w:szCs w:val="20"/>
        </w:rPr>
      </w:pPr>
    </w:p>
    <w:p w14:paraId="7120E078" w14:textId="77777777" w:rsidR="00721389" w:rsidRPr="007B4FA8" w:rsidRDefault="00721389" w:rsidP="00721389">
      <w:pPr>
        <w:spacing w:line="260" w:lineRule="exact"/>
        <w:rPr>
          <w:rFonts w:ascii="Verdana" w:hAnsi="Verdana"/>
          <w:color w:val="262626"/>
          <w:sz w:val="20"/>
          <w:szCs w:val="20"/>
        </w:rPr>
      </w:pPr>
    </w:p>
    <w:p w14:paraId="15504EE9" w14:textId="77777777" w:rsidR="00721389" w:rsidRPr="007B4FA8" w:rsidRDefault="00721389" w:rsidP="00721389">
      <w:pPr>
        <w:spacing w:line="260" w:lineRule="exact"/>
        <w:rPr>
          <w:rFonts w:ascii="Verdana" w:hAnsi="Verdana"/>
          <w:color w:val="262626"/>
          <w:sz w:val="20"/>
          <w:szCs w:val="20"/>
        </w:rPr>
      </w:pPr>
    </w:p>
    <w:p w14:paraId="624803D6" w14:textId="77777777" w:rsidR="006A2619" w:rsidRPr="007B4FA8" w:rsidRDefault="006A2619" w:rsidP="00422340">
      <w:pPr>
        <w:spacing w:line="260" w:lineRule="exact"/>
        <w:rPr>
          <w:rFonts w:ascii="Verdana" w:hAnsi="Verdana"/>
          <w:color w:val="262626"/>
          <w:sz w:val="18"/>
          <w:szCs w:val="18"/>
        </w:rPr>
      </w:pPr>
    </w:p>
    <w:sectPr w:rsidR="006A2619" w:rsidRPr="007B4FA8" w:rsidSect="00005B23">
      <w:footerReference w:type="default" r:id="rId7"/>
      <w:headerReference w:type="first" r:id="rId8"/>
      <w:footerReference w:type="first" r:id="rId9"/>
      <w:type w:val="continuous"/>
      <w:pgSz w:w="11900" w:h="16840"/>
      <w:pgMar w:top="1701" w:right="1418" w:bottom="1134" w:left="1418" w:header="709" w:footer="45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CAFA7" w14:textId="77777777" w:rsidR="001634FF" w:rsidRDefault="001634FF" w:rsidP="002F6745">
      <w:r>
        <w:separator/>
      </w:r>
    </w:p>
  </w:endnote>
  <w:endnote w:type="continuationSeparator" w:id="0">
    <w:p w14:paraId="2619EB62" w14:textId="77777777" w:rsidR="001634FF" w:rsidRDefault="001634FF" w:rsidP="002F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Verdana-Bold">
    <w:altName w:val="Verdan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7A626" w14:textId="77777777" w:rsidR="001634FF" w:rsidRPr="008E1A47" w:rsidRDefault="001634FF" w:rsidP="00DD0CA3">
    <w:pPr>
      <w:pStyle w:val="Fuzeile"/>
      <w:jc w:val="center"/>
      <w:rPr>
        <w:rFonts w:ascii="Verdana" w:hAnsi="Verdana"/>
        <w:color w:val="333333"/>
        <w:sz w:val="18"/>
        <w:szCs w:val="18"/>
      </w:rPr>
    </w:pPr>
    <w:r>
      <w:rPr>
        <w:rFonts w:ascii="Verdana" w:hAnsi="Verdana"/>
        <w:noProof/>
        <w:color w:val="333333"/>
        <w:sz w:val="18"/>
        <w:szCs w:val="18"/>
      </w:rPr>
      <w:drawing>
        <wp:anchor distT="0" distB="0" distL="114300" distR="114300" simplePos="0" relativeHeight="251663360" behindDoc="1" locked="0" layoutInCell="1" allowOverlap="1" wp14:anchorId="506DE985" wp14:editId="23A48609">
          <wp:simplePos x="0" y="0"/>
          <wp:positionH relativeFrom="column">
            <wp:posOffset>-900430</wp:posOffset>
          </wp:positionH>
          <wp:positionV relativeFrom="paragraph">
            <wp:posOffset>-704995</wp:posOffset>
          </wp:positionV>
          <wp:extent cx="7571740" cy="955040"/>
          <wp:effectExtent l="0" t="0" r="0" b="1016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gward_Balken_Word_2.jpg"/>
                  <pic:cNvPicPr/>
                </pic:nvPicPr>
                <pic:blipFill>
                  <a:blip r:embed="rId1">
                    <a:extLst>
                      <a:ext uri="{28A0092B-C50C-407E-A947-70E740481C1C}">
                        <a14:useLocalDpi xmlns:a14="http://schemas.microsoft.com/office/drawing/2010/main" val="0"/>
                      </a:ext>
                    </a:extLst>
                  </a:blip>
                  <a:stretch>
                    <a:fillRect/>
                  </a:stretch>
                </pic:blipFill>
                <pic:spPr>
                  <a:xfrm>
                    <a:off x="0" y="0"/>
                    <a:ext cx="7571740" cy="955040"/>
                  </a:xfrm>
                  <a:prstGeom prst="rect">
                    <a:avLst/>
                  </a:prstGeom>
                </pic:spPr>
              </pic:pic>
            </a:graphicData>
          </a:graphic>
          <wp14:sizeRelH relativeFrom="page">
            <wp14:pctWidth>0</wp14:pctWidth>
          </wp14:sizeRelH>
          <wp14:sizeRelV relativeFrom="page">
            <wp14:pctHeight>0</wp14:pctHeight>
          </wp14:sizeRelV>
        </wp:anchor>
      </w:drawing>
    </w:r>
    <w:r w:rsidRPr="008E1A47">
      <w:rPr>
        <w:rFonts w:ascii="Verdana" w:hAnsi="Verdana"/>
        <w:noProof/>
        <w:color w:val="333333"/>
        <w:sz w:val="18"/>
        <w:szCs w:val="18"/>
      </w:rPr>
      <mc:AlternateContent>
        <mc:Choice Requires="wps">
          <w:drawing>
            <wp:anchor distT="0" distB="0" distL="114300" distR="114300" simplePos="0" relativeHeight="251662336" behindDoc="1" locked="0" layoutInCell="1" allowOverlap="1" wp14:anchorId="79B6BE44" wp14:editId="72AE1CFA">
              <wp:simplePos x="0" y="0"/>
              <wp:positionH relativeFrom="column">
                <wp:posOffset>2971800</wp:posOffset>
              </wp:positionH>
              <wp:positionV relativeFrom="paragraph">
                <wp:posOffset>558945</wp:posOffset>
              </wp:positionV>
              <wp:extent cx="0" cy="357945"/>
              <wp:effectExtent l="50800" t="25400" r="76200" b="74295"/>
              <wp:wrapNone/>
              <wp:docPr id="12" name="Gerade Verbindung 12"/>
              <wp:cNvGraphicFramePr/>
              <a:graphic xmlns:a="http://schemas.openxmlformats.org/drawingml/2006/main">
                <a:graphicData uri="http://schemas.microsoft.com/office/word/2010/wordprocessingShape">
                  <wps:wsp>
                    <wps:cNvCnPr/>
                    <wps:spPr>
                      <a:xfrm>
                        <a:off x="0" y="0"/>
                        <a:ext cx="0" cy="35794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Gerade Verbindung 12" o:spid="_x0000_s1026" style="position:absolute;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pt,44pt" to="234pt,7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" strokecolor="#4f81bd [3204]" strokeweight="2pt">
              <v:shadow on="t" opacity="24903f" mv:blur="40000f" origin=",.5" offset="0,20000emu"/>
            </v:line>
          </w:pict>
        </mc:Fallback>
      </mc:AlternateContent>
    </w:r>
    <w:r w:rsidRPr="008E1A47">
      <w:rPr>
        <w:rFonts w:ascii="Verdana" w:hAnsi="Verdana" w:cs="Times New Roman"/>
        <w:color w:val="333333"/>
        <w:sz w:val="18"/>
        <w:szCs w:val="18"/>
      </w:rPr>
      <w:fldChar w:fldCharType="begin"/>
    </w:r>
    <w:r w:rsidRPr="008E1A47">
      <w:rPr>
        <w:rFonts w:ascii="Verdana" w:hAnsi="Verdana" w:cs="Times New Roman"/>
        <w:color w:val="333333"/>
        <w:sz w:val="18"/>
        <w:szCs w:val="18"/>
      </w:rPr>
      <w:instrText xml:space="preserve"> PAGE </w:instrText>
    </w:r>
    <w:r w:rsidRPr="008E1A47">
      <w:rPr>
        <w:rFonts w:ascii="Verdana" w:hAnsi="Verdana" w:cs="Times New Roman"/>
        <w:color w:val="333333"/>
        <w:sz w:val="18"/>
        <w:szCs w:val="18"/>
      </w:rPr>
      <w:fldChar w:fldCharType="separate"/>
    </w:r>
    <w:r w:rsidR="00B17A68">
      <w:rPr>
        <w:rFonts w:ascii="Verdana" w:hAnsi="Verdana" w:cs="Times New Roman"/>
        <w:noProof/>
        <w:color w:val="333333"/>
        <w:sz w:val="18"/>
        <w:szCs w:val="18"/>
      </w:rPr>
      <w:t>2</w:t>
    </w:r>
    <w:r w:rsidRPr="008E1A47">
      <w:rPr>
        <w:rFonts w:ascii="Verdana" w:hAnsi="Verdana" w:cs="Times New Roman"/>
        <w:color w:val="333333"/>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0FD0F" w14:textId="77777777" w:rsidR="001634FF" w:rsidRPr="008E1A47" w:rsidRDefault="001634FF" w:rsidP="002F6745">
    <w:pPr>
      <w:pStyle w:val="Fuzeile"/>
      <w:jc w:val="center"/>
      <w:rPr>
        <w:rFonts w:ascii="Verdana" w:hAnsi="Verdana"/>
        <w:color w:val="333333"/>
        <w:sz w:val="18"/>
        <w:szCs w:val="18"/>
      </w:rPr>
    </w:pPr>
    <w:r w:rsidRPr="008E1A47">
      <w:rPr>
        <w:rFonts w:ascii="Verdana" w:hAnsi="Verdana"/>
        <w:noProof/>
        <w:color w:val="333333"/>
        <w:sz w:val="18"/>
        <w:szCs w:val="18"/>
      </w:rPr>
      <w:drawing>
        <wp:anchor distT="0" distB="0" distL="114300" distR="114300" simplePos="0" relativeHeight="251658240" behindDoc="1" locked="0" layoutInCell="1" allowOverlap="1" wp14:anchorId="48D671BC" wp14:editId="65D61E86">
          <wp:simplePos x="0" y="0"/>
          <wp:positionH relativeFrom="column">
            <wp:posOffset>1905</wp:posOffset>
          </wp:positionH>
          <wp:positionV relativeFrom="paragraph">
            <wp:posOffset>-394480</wp:posOffset>
          </wp:positionV>
          <wp:extent cx="5755640" cy="358140"/>
          <wp:effectExtent l="0" t="0" r="10160" b="0"/>
          <wp:wrapNone/>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gward_Balken_Word_1.jpg"/>
                  <pic:cNvPicPr/>
                </pic:nvPicPr>
                <pic:blipFill>
                  <a:blip r:embed="rId1">
                    <a:extLst>
                      <a:ext uri="{28A0092B-C50C-407E-A947-70E740481C1C}">
                        <a14:useLocalDpi xmlns:a14="http://schemas.microsoft.com/office/drawing/2010/main" val="0"/>
                      </a:ext>
                    </a:extLst>
                  </a:blip>
                  <a:stretch>
                    <a:fillRect/>
                  </a:stretch>
                </pic:blipFill>
                <pic:spPr>
                  <a:xfrm>
                    <a:off x="0" y="0"/>
                    <a:ext cx="5755640" cy="358140"/>
                  </a:xfrm>
                  <a:prstGeom prst="rect">
                    <a:avLst/>
                  </a:prstGeom>
                </pic:spPr>
              </pic:pic>
            </a:graphicData>
          </a:graphic>
          <wp14:sizeRelH relativeFrom="page">
            <wp14:pctWidth>0</wp14:pctWidth>
          </wp14:sizeRelH>
          <wp14:sizeRelV relativeFrom="page">
            <wp14:pctHeight>0</wp14:pctHeight>
          </wp14:sizeRelV>
        </wp:anchor>
      </w:drawing>
    </w:r>
    <w:r w:rsidRPr="008E1A47">
      <w:rPr>
        <w:rFonts w:ascii="Verdana" w:hAnsi="Verdana"/>
        <w:noProof/>
        <w:color w:val="333333"/>
        <w:sz w:val="18"/>
        <w:szCs w:val="18"/>
      </w:rPr>
      <mc:AlternateContent>
        <mc:Choice Requires="wps">
          <w:drawing>
            <wp:anchor distT="0" distB="0" distL="114300" distR="114300" simplePos="0" relativeHeight="251659264" behindDoc="1" locked="0" layoutInCell="1" allowOverlap="1" wp14:anchorId="625DE3BA" wp14:editId="46F649BC">
              <wp:simplePos x="0" y="0"/>
              <wp:positionH relativeFrom="column">
                <wp:posOffset>2971800</wp:posOffset>
              </wp:positionH>
              <wp:positionV relativeFrom="paragraph">
                <wp:posOffset>558945</wp:posOffset>
              </wp:positionV>
              <wp:extent cx="0" cy="357945"/>
              <wp:effectExtent l="50800" t="25400" r="76200" b="74295"/>
              <wp:wrapNone/>
              <wp:docPr id="3" name="Gerade Verbindung 3"/>
              <wp:cNvGraphicFramePr/>
              <a:graphic xmlns:a="http://schemas.openxmlformats.org/drawingml/2006/main">
                <a:graphicData uri="http://schemas.microsoft.com/office/word/2010/wordprocessingShape">
                  <wps:wsp>
                    <wps:cNvCnPr/>
                    <wps:spPr>
                      <a:xfrm>
                        <a:off x="0" y="0"/>
                        <a:ext cx="0" cy="35794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Gerade Verbindung 3"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pt,44pt" to="234pt,7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" strokecolor="#4f81bd [3204]" strokeweight="2pt">
              <v:shadow on="t" opacity="24903f" mv:blur="40000f" origin=",.5" offset="0,20000emu"/>
            </v:line>
          </w:pict>
        </mc:Fallback>
      </mc:AlternateContent>
    </w:r>
    <w:r w:rsidRPr="008E1A47">
      <w:rPr>
        <w:rFonts w:ascii="Verdana" w:hAnsi="Verdana" w:cs="Times New Roman"/>
        <w:color w:val="333333"/>
        <w:sz w:val="18"/>
        <w:szCs w:val="18"/>
      </w:rPr>
      <w:fldChar w:fldCharType="begin"/>
    </w:r>
    <w:r w:rsidRPr="008E1A47">
      <w:rPr>
        <w:rFonts w:ascii="Verdana" w:hAnsi="Verdana" w:cs="Times New Roman"/>
        <w:color w:val="333333"/>
        <w:sz w:val="18"/>
        <w:szCs w:val="18"/>
      </w:rPr>
      <w:instrText xml:space="preserve"> PAGE </w:instrText>
    </w:r>
    <w:r w:rsidRPr="008E1A47">
      <w:rPr>
        <w:rFonts w:ascii="Verdana" w:hAnsi="Verdana" w:cs="Times New Roman"/>
        <w:color w:val="333333"/>
        <w:sz w:val="18"/>
        <w:szCs w:val="18"/>
      </w:rPr>
      <w:fldChar w:fldCharType="separate"/>
    </w:r>
    <w:r w:rsidR="00B17A68">
      <w:rPr>
        <w:rFonts w:ascii="Verdana" w:hAnsi="Verdana" w:cs="Times New Roman"/>
        <w:noProof/>
        <w:color w:val="333333"/>
        <w:sz w:val="18"/>
        <w:szCs w:val="18"/>
      </w:rPr>
      <w:t>1</w:t>
    </w:r>
    <w:r w:rsidRPr="008E1A47">
      <w:rPr>
        <w:rFonts w:ascii="Verdana" w:hAnsi="Verdana" w:cs="Times New Roman"/>
        <w:color w:val="333333"/>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80A5F" w14:textId="77777777" w:rsidR="001634FF" w:rsidRDefault="001634FF" w:rsidP="002F6745">
      <w:r>
        <w:separator/>
      </w:r>
    </w:p>
  </w:footnote>
  <w:footnote w:type="continuationSeparator" w:id="0">
    <w:p w14:paraId="768C99A3" w14:textId="77777777" w:rsidR="001634FF" w:rsidRDefault="001634FF" w:rsidP="002F67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73D7E" w14:textId="77777777" w:rsidR="001634FF" w:rsidRDefault="001634FF" w:rsidP="005915AE">
    <w:pPr>
      <w:pStyle w:val="Kopfzeile"/>
    </w:pPr>
    <w:r>
      <w:rPr>
        <w:noProof/>
      </w:rPr>
      <w:drawing>
        <wp:anchor distT="0" distB="0" distL="114300" distR="114300" simplePos="0" relativeHeight="251664384" behindDoc="1" locked="0" layoutInCell="1" allowOverlap="1" wp14:anchorId="1C9AA0C7" wp14:editId="7316B2CE">
          <wp:simplePos x="0" y="0"/>
          <wp:positionH relativeFrom="column">
            <wp:posOffset>4740765</wp:posOffset>
          </wp:positionH>
          <wp:positionV relativeFrom="paragraph">
            <wp:posOffset>1270</wp:posOffset>
          </wp:positionV>
          <wp:extent cx="1241425" cy="1083945"/>
          <wp:effectExtent l="0" t="0" r="0" b="8255"/>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gward_logo_word_kopf.png"/>
                  <pic:cNvPicPr/>
                </pic:nvPicPr>
                <pic:blipFill rotWithShape="1">
                  <a:blip r:embed="rId1">
                    <a:extLst>
                      <a:ext uri="{28A0092B-C50C-407E-A947-70E740481C1C}">
                        <a14:useLocalDpi xmlns:a14="http://schemas.microsoft.com/office/drawing/2010/main" val="0"/>
                      </a:ext>
                    </a:extLst>
                  </a:blip>
                  <a:srcRect b="12681"/>
                  <a:stretch/>
                </pic:blipFill>
                <pic:spPr bwMode="auto">
                  <a:xfrm>
                    <a:off x="0" y="0"/>
                    <a:ext cx="1241425" cy="1083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BFD"/>
    <w:rsid w:val="00005B23"/>
    <w:rsid w:val="00071D5E"/>
    <w:rsid w:val="000F04C4"/>
    <w:rsid w:val="00107216"/>
    <w:rsid w:val="0011253C"/>
    <w:rsid w:val="001634FF"/>
    <w:rsid w:val="001B13E5"/>
    <w:rsid w:val="001D74E8"/>
    <w:rsid w:val="00261D13"/>
    <w:rsid w:val="002F6745"/>
    <w:rsid w:val="00353A3B"/>
    <w:rsid w:val="00377107"/>
    <w:rsid w:val="003D7894"/>
    <w:rsid w:val="003D7B7B"/>
    <w:rsid w:val="00422340"/>
    <w:rsid w:val="00445C14"/>
    <w:rsid w:val="00492D86"/>
    <w:rsid w:val="004D2DC7"/>
    <w:rsid w:val="0057093B"/>
    <w:rsid w:val="005915AE"/>
    <w:rsid w:val="005C4482"/>
    <w:rsid w:val="006A2619"/>
    <w:rsid w:val="00721389"/>
    <w:rsid w:val="00730118"/>
    <w:rsid w:val="0074647F"/>
    <w:rsid w:val="007675BD"/>
    <w:rsid w:val="007A792C"/>
    <w:rsid w:val="007B4FA8"/>
    <w:rsid w:val="00810BA7"/>
    <w:rsid w:val="00814E08"/>
    <w:rsid w:val="00825D3E"/>
    <w:rsid w:val="00834618"/>
    <w:rsid w:val="00845018"/>
    <w:rsid w:val="008B3412"/>
    <w:rsid w:val="008E1A47"/>
    <w:rsid w:val="009B7B84"/>
    <w:rsid w:val="009D499C"/>
    <w:rsid w:val="009E2E04"/>
    <w:rsid w:val="00A62349"/>
    <w:rsid w:val="00AF00A4"/>
    <w:rsid w:val="00B17A68"/>
    <w:rsid w:val="00B17B1E"/>
    <w:rsid w:val="00BB68B5"/>
    <w:rsid w:val="00C90A48"/>
    <w:rsid w:val="00CC7194"/>
    <w:rsid w:val="00CE093B"/>
    <w:rsid w:val="00D104A8"/>
    <w:rsid w:val="00D8272A"/>
    <w:rsid w:val="00DC6C7D"/>
    <w:rsid w:val="00DD0CA3"/>
    <w:rsid w:val="00E00AF9"/>
    <w:rsid w:val="00E13BFD"/>
    <w:rsid w:val="00E752C1"/>
    <w:rsid w:val="00F60E61"/>
    <w:rsid w:val="00FA5852"/>
    <w:rsid w:val="00FD313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2CE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E0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2F6745"/>
    <w:pPr>
      <w:tabs>
        <w:tab w:val="center" w:pos="4536"/>
        <w:tab w:val="right" w:pos="9072"/>
      </w:tabs>
    </w:pPr>
  </w:style>
  <w:style w:type="character" w:customStyle="1" w:styleId="KopfzeileZeichen">
    <w:name w:val="Kopfzeile Zeichen"/>
    <w:basedOn w:val="Absatzstandardschriftart"/>
    <w:link w:val="Kopfzeile"/>
    <w:uiPriority w:val="99"/>
    <w:rsid w:val="002F6745"/>
  </w:style>
  <w:style w:type="paragraph" w:styleId="Fuzeile">
    <w:name w:val="footer"/>
    <w:basedOn w:val="Standard"/>
    <w:link w:val="FuzeileZeichen"/>
    <w:uiPriority w:val="99"/>
    <w:unhideWhenUsed/>
    <w:rsid w:val="002F6745"/>
    <w:pPr>
      <w:tabs>
        <w:tab w:val="center" w:pos="4536"/>
        <w:tab w:val="right" w:pos="9072"/>
      </w:tabs>
    </w:pPr>
  </w:style>
  <w:style w:type="character" w:customStyle="1" w:styleId="FuzeileZeichen">
    <w:name w:val="Fußzeile Zeichen"/>
    <w:basedOn w:val="Absatzstandardschriftart"/>
    <w:link w:val="Fuzeile"/>
    <w:uiPriority w:val="99"/>
    <w:rsid w:val="002F6745"/>
  </w:style>
  <w:style w:type="paragraph" w:styleId="Sprechblasentext">
    <w:name w:val="Balloon Text"/>
    <w:basedOn w:val="Standard"/>
    <w:link w:val="SprechblasentextZeichen"/>
    <w:uiPriority w:val="99"/>
    <w:semiHidden/>
    <w:unhideWhenUsed/>
    <w:rsid w:val="002F6745"/>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2F6745"/>
    <w:rPr>
      <w:rFonts w:ascii="Lucida Grande" w:hAnsi="Lucida Grande"/>
      <w:sz w:val="18"/>
      <w:szCs w:val="18"/>
    </w:rPr>
  </w:style>
  <w:style w:type="character" w:styleId="Seitenzahl">
    <w:name w:val="page number"/>
    <w:basedOn w:val="Absatzstandardschriftart"/>
    <w:uiPriority w:val="99"/>
    <w:semiHidden/>
    <w:unhideWhenUsed/>
    <w:rsid w:val="002F6745"/>
  </w:style>
  <w:style w:type="paragraph" w:customStyle="1" w:styleId="EinfAbs">
    <w:name w:val="[Einf. Abs.]"/>
    <w:basedOn w:val="Standard"/>
    <w:uiPriority w:val="99"/>
    <w:rsid w:val="007675BD"/>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E0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2F6745"/>
    <w:pPr>
      <w:tabs>
        <w:tab w:val="center" w:pos="4536"/>
        <w:tab w:val="right" w:pos="9072"/>
      </w:tabs>
    </w:pPr>
  </w:style>
  <w:style w:type="character" w:customStyle="1" w:styleId="KopfzeileZeichen">
    <w:name w:val="Kopfzeile Zeichen"/>
    <w:basedOn w:val="Absatzstandardschriftart"/>
    <w:link w:val="Kopfzeile"/>
    <w:uiPriority w:val="99"/>
    <w:rsid w:val="002F6745"/>
  </w:style>
  <w:style w:type="paragraph" w:styleId="Fuzeile">
    <w:name w:val="footer"/>
    <w:basedOn w:val="Standard"/>
    <w:link w:val="FuzeileZeichen"/>
    <w:uiPriority w:val="99"/>
    <w:unhideWhenUsed/>
    <w:rsid w:val="002F6745"/>
    <w:pPr>
      <w:tabs>
        <w:tab w:val="center" w:pos="4536"/>
        <w:tab w:val="right" w:pos="9072"/>
      </w:tabs>
    </w:pPr>
  </w:style>
  <w:style w:type="character" w:customStyle="1" w:styleId="FuzeileZeichen">
    <w:name w:val="Fußzeile Zeichen"/>
    <w:basedOn w:val="Absatzstandardschriftart"/>
    <w:link w:val="Fuzeile"/>
    <w:uiPriority w:val="99"/>
    <w:rsid w:val="002F6745"/>
  </w:style>
  <w:style w:type="paragraph" w:styleId="Sprechblasentext">
    <w:name w:val="Balloon Text"/>
    <w:basedOn w:val="Standard"/>
    <w:link w:val="SprechblasentextZeichen"/>
    <w:uiPriority w:val="99"/>
    <w:semiHidden/>
    <w:unhideWhenUsed/>
    <w:rsid w:val="002F6745"/>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2F6745"/>
    <w:rPr>
      <w:rFonts w:ascii="Lucida Grande" w:hAnsi="Lucida Grande"/>
      <w:sz w:val="18"/>
      <w:szCs w:val="18"/>
    </w:rPr>
  </w:style>
  <w:style w:type="character" w:styleId="Seitenzahl">
    <w:name w:val="page number"/>
    <w:basedOn w:val="Absatzstandardschriftart"/>
    <w:uiPriority w:val="99"/>
    <w:semiHidden/>
    <w:unhideWhenUsed/>
    <w:rsid w:val="002F6745"/>
  </w:style>
  <w:style w:type="paragraph" w:customStyle="1" w:styleId="EinfAbs">
    <w:name w:val="[Einf. Abs.]"/>
    <w:basedOn w:val="Standard"/>
    <w:uiPriority w:val="99"/>
    <w:rsid w:val="007675BD"/>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mac3:Desktop:Masterfile_Word_150727%202:03_Masterfile_Pressemitteilung_Borgward_DE_150727.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03_Masterfile_Pressemitteilung_Borgward_DE_150727.dotx</Template>
  <TotalTime>0</TotalTime>
  <Pages>2</Pages>
  <Words>615</Words>
  <Characters>3877</Characters>
  <Application>Microsoft Macintosh Word</Application>
  <DocSecurity>0</DocSecurity>
  <Lines>32</Lines>
  <Paragraphs>8</Paragraphs>
  <ScaleCrop>false</ScaleCrop>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17</cp:revision>
  <cp:lastPrinted>2015-05-19T14:57:00Z</cp:lastPrinted>
  <dcterms:created xsi:type="dcterms:W3CDTF">2015-07-29T11:45:00Z</dcterms:created>
  <dcterms:modified xsi:type="dcterms:W3CDTF">2015-11-18T08:22:00Z</dcterms:modified>
</cp:coreProperties>
</file>